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1B" w:rsidRDefault="00C97D1B" w:rsidP="00D94B69">
      <w:pPr>
        <w:pStyle w:val="Bezmezer"/>
        <w:rPr>
          <w:b/>
          <w:sz w:val="24"/>
          <w:szCs w:val="24"/>
        </w:rPr>
      </w:pPr>
    </w:p>
    <w:p w:rsidR="000F7E95" w:rsidRDefault="000F7E95" w:rsidP="00D94B69">
      <w:pPr>
        <w:pStyle w:val="Bezmezer"/>
        <w:rPr>
          <w:rFonts w:ascii="Times New Roman" w:eastAsia="Times New Roman" w:hAnsi="Times New Roman" w:cs="Times New Roman"/>
          <w:sz w:val="24"/>
          <w:lang w:eastAsia="cs-CZ"/>
        </w:rPr>
      </w:pPr>
    </w:p>
    <w:p w:rsidR="00727490" w:rsidRDefault="00727490" w:rsidP="00D94B69">
      <w:pPr>
        <w:pStyle w:val="Bezmezer"/>
        <w:rPr>
          <w:rFonts w:ascii="Times New Roman" w:eastAsia="Times New Roman" w:hAnsi="Times New Roman" w:cs="Times New Roman"/>
          <w:sz w:val="24"/>
          <w:lang w:eastAsia="cs-CZ"/>
        </w:rPr>
      </w:pPr>
    </w:p>
    <w:p w:rsidR="00727490" w:rsidRDefault="00727490" w:rsidP="00727490">
      <w:pPr>
        <w:pStyle w:val="Nadpis1"/>
        <w:ind w:left="567" w:hanging="567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D56FC6">
        <w:rPr>
          <w:b/>
          <w:sz w:val="32"/>
          <w:szCs w:val="32"/>
        </w:rPr>
        <w:t>ýroční zpráva o p</w:t>
      </w:r>
      <w:r>
        <w:rPr>
          <w:b/>
          <w:sz w:val="32"/>
          <w:szCs w:val="32"/>
        </w:rPr>
        <w:t xml:space="preserve">oskytování informací za rok 2020 dle zákona </w:t>
      </w:r>
    </w:p>
    <w:p w:rsidR="00727490" w:rsidRPr="00D56FC6" w:rsidRDefault="00727490" w:rsidP="00727490">
      <w:pPr>
        <w:pStyle w:val="Nadpis1"/>
        <w:ind w:left="567" w:hanging="567"/>
        <w:rPr>
          <w:noProof/>
          <w:szCs w:val="24"/>
        </w:rPr>
      </w:pPr>
      <w:r>
        <w:rPr>
          <w:b/>
          <w:sz w:val="32"/>
          <w:szCs w:val="32"/>
        </w:rPr>
        <w:t xml:space="preserve">     </w:t>
      </w:r>
      <w:r w:rsidRPr="00D56FC6">
        <w:rPr>
          <w:b/>
          <w:sz w:val="32"/>
          <w:szCs w:val="32"/>
        </w:rPr>
        <w:t>č.</w:t>
      </w:r>
      <w:r>
        <w:rPr>
          <w:b/>
          <w:sz w:val="32"/>
          <w:szCs w:val="32"/>
        </w:rPr>
        <w:t xml:space="preserve"> </w:t>
      </w:r>
      <w:r w:rsidRPr="00D56FC6">
        <w:rPr>
          <w:b/>
          <w:sz w:val="32"/>
          <w:szCs w:val="32"/>
        </w:rPr>
        <w:t>106/1999 Sb., o svobodném přístupu k informacím</w:t>
      </w:r>
    </w:p>
    <w:p w:rsidR="00727490" w:rsidRDefault="00727490" w:rsidP="00D94B69">
      <w:pPr>
        <w:pStyle w:val="Bezmezer"/>
        <w:rPr>
          <w:rFonts w:ascii="Times New Roman" w:eastAsia="Times New Roman" w:hAnsi="Times New Roman" w:cs="Times New Roman"/>
          <w:sz w:val="24"/>
          <w:lang w:eastAsia="cs-CZ"/>
        </w:rPr>
      </w:pPr>
    </w:p>
    <w:p w:rsidR="00727490" w:rsidRDefault="00727490" w:rsidP="00D94B69">
      <w:pPr>
        <w:pStyle w:val="Bezmezer"/>
        <w:rPr>
          <w:rFonts w:ascii="Times New Roman" w:eastAsia="Times New Roman" w:hAnsi="Times New Roman" w:cs="Times New Roman"/>
          <w:sz w:val="24"/>
          <w:lang w:eastAsia="cs-CZ"/>
        </w:rPr>
      </w:pPr>
    </w:p>
    <w:p w:rsidR="00727490" w:rsidRDefault="00727490" w:rsidP="00D94B69">
      <w:pPr>
        <w:pStyle w:val="Bezmezer"/>
        <w:rPr>
          <w:rFonts w:ascii="Times New Roman" w:eastAsia="Times New Roman" w:hAnsi="Times New Roman" w:cs="Times New Roman"/>
          <w:sz w:val="24"/>
          <w:lang w:eastAsia="cs-CZ"/>
        </w:rPr>
      </w:pPr>
    </w:p>
    <w:p w:rsidR="00727490" w:rsidRDefault="00727490" w:rsidP="00D94B69">
      <w:pPr>
        <w:pStyle w:val="Bezmezer"/>
        <w:rPr>
          <w:rFonts w:ascii="Times New Roman" w:eastAsia="Times New Roman" w:hAnsi="Times New Roman" w:cs="Times New Roman"/>
          <w:sz w:val="24"/>
          <w:lang w:eastAsia="cs-CZ"/>
        </w:rPr>
      </w:pPr>
    </w:p>
    <w:p w:rsidR="00727490" w:rsidRDefault="00727490" w:rsidP="00D94B69">
      <w:pPr>
        <w:pStyle w:val="Bezmezer"/>
        <w:rPr>
          <w:b/>
          <w:sz w:val="24"/>
          <w:szCs w:val="24"/>
        </w:rPr>
      </w:pPr>
    </w:p>
    <w:p w:rsidR="00727490" w:rsidRDefault="00727490" w:rsidP="00727490">
      <w:pPr>
        <w:rPr>
          <w:sz w:val="24"/>
        </w:rPr>
      </w:pPr>
      <w:r>
        <w:rPr>
          <w:sz w:val="24"/>
        </w:rPr>
        <w:t xml:space="preserve">Zákon č.106/1999 Sb., o svobodném přístupu k informacím (§ 18 </w:t>
      </w:r>
      <w:proofErr w:type="gramStart"/>
      <w:r>
        <w:rPr>
          <w:sz w:val="24"/>
        </w:rPr>
        <w:t>odst.1) ukládá</w:t>
      </w:r>
      <w:proofErr w:type="gramEnd"/>
      <w:r>
        <w:rPr>
          <w:sz w:val="24"/>
        </w:rPr>
        <w:t xml:space="preserve"> povinným subjektům zveřejnit do 1. března údaje o své činnosti v oblasti poskytování informací za předcházející kalendářní rok.</w:t>
      </w:r>
    </w:p>
    <w:p w:rsidR="00727490" w:rsidRDefault="00727490" w:rsidP="00727490">
      <w:pPr>
        <w:rPr>
          <w:sz w:val="24"/>
        </w:rPr>
      </w:pPr>
      <w:r>
        <w:rPr>
          <w:sz w:val="24"/>
        </w:rPr>
        <w:t xml:space="preserve"> </w:t>
      </w:r>
    </w:p>
    <w:p w:rsidR="00727490" w:rsidRDefault="00727490" w:rsidP="00727490">
      <w:pPr>
        <w:rPr>
          <w:sz w:val="24"/>
        </w:rPr>
      </w:pPr>
      <w:r>
        <w:rPr>
          <w:sz w:val="24"/>
        </w:rPr>
        <w:t xml:space="preserve">Zákon č. 106/1999 Sb., §18, </w:t>
      </w:r>
      <w:proofErr w:type="gramStart"/>
      <w:r>
        <w:rPr>
          <w:sz w:val="24"/>
        </w:rPr>
        <w:t>odst.1:</w:t>
      </w:r>
      <w:proofErr w:type="gramEnd"/>
    </w:p>
    <w:p w:rsidR="00727490" w:rsidRDefault="00727490" w:rsidP="00727490">
      <w:pPr>
        <w:rPr>
          <w:sz w:val="24"/>
        </w:rPr>
      </w:pPr>
    </w:p>
    <w:p w:rsidR="00727490" w:rsidRDefault="00727490" w:rsidP="00727490">
      <w:pPr>
        <w:numPr>
          <w:ilvl w:val="0"/>
          <w:numId w:val="4"/>
        </w:numPr>
        <w:rPr>
          <w:b/>
          <w:sz w:val="24"/>
        </w:rPr>
      </w:pPr>
      <w:r w:rsidRPr="00C53BD1">
        <w:rPr>
          <w:b/>
          <w:sz w:val="24"/>
        </w:rPr>
        <w:t>Počet podaných žádostí o informace:</w:t>
      </w:r>
    </w:p>
    <w:p w:rsidR="00727490" w:rsidRDefault="00727490" w:rsidP="00727490">
      <w:pPr>
        <w:ind w:left="502"/>
        <w:rPr>
          <w:b/>
          <w:sz w:val="24"/>
        </w:rPr>
      </w:pPr>
    </w:p>
    <w:p w:rsidR="00727490" w:rsidRPr="00C53BD1" w:rsidRDefault="00727490" w:rsidP="0072749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0</w:t>
      </w:r>
    </w:p>
    <w:p w:rsidR="00727490" w:rsidRPr="00C53BD1" w:rsidRDefault="00727490" w:rsidP="00727490">
      <w:pPr>
        <w:ind w:left="1080"/>
        <w:rPr>
          <w:b/>
          <w:sz w:val="24"/>
        </w:rPr>
      </w:pPr>
    </w:p>
    <w:p w:rsidR="00727490" w:rsidRDefault="00727490" w:rsidP="00727490">
      <w:pPr>
        <w:numPr>
          <w:ilvl w:val="0"/>
          <w:numId w:val="4"/>
        </w:numPr>
        <w:rPr>
          <w:b/>
          <w:sz w:val="24"/>
        </w:rPr>
      </w:pPr>
      <w:r w:rsidRPr="00C53BD1">
        <w:rPr>
          <w:b/>
          <w:sz w:val="24"/>
        </w:rPr>
        <w:t>Počet podaných odvolání proti rozhodnutí</w:t>
      </w:r>
    </w:p>
    <w:p w:rsidR="00727490" w:rsidRPr="00C53BD1" w:rsidRDefault="00727490" w:rsidP="00727490">
      <w:pPr>
        <w:ind w:left="502"/>
        <w:rPr>
          <w:b/>
          <w:sz w:val="24"/>
        </w:rPr>
      </w:pPr>
    </w:p>
    <w:p w:rsidR="00727490" w:rsidRDefault="00727490" w:rsidP="0072749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0</w:t>
      </w:r>
    </w:p>
    <w:p w:rsidR="00727490" w:rsidRDefault="00727490" w:rsidP="00727490">
      <w:pPr>
        <w:rPr>
          <w:sz w:val="24"/>
        </w:rPr>
      </w:pPr>
      <w:r>
        <w:rPr>
          <w:sz w:val="24"/>
        </w:rPr>
        <w:t xml:space="preserve">  </w:t>
      </w:r>
    </w:p>
    <w:p w:rsidR="00727490" w:rsidRDefault="00727490" w:rsidP="00727490">
      <w:pPr>
        <w:numPr>
          <w:ilvl w:val="0"/>
          <w:numId w:val="4"/>
        </w:numPr>
        <w:rPr>
          <w:b/>
          <w:sz w:val="24"/>
        </w:rPr>
      </w:pPr>
      <w:r w:rsidRPr="00C53BD1">
        <w:rPr>
          <w:b/>
          <w:sz w:val="24"/>
        </w:rPr>
        <w:t>Opis podstatných částí každého rozsudku soudu:</w:t>
      </w:r>
    </w:p>
    <w:p w:rsidR="00727490" w:rsidRDefault="00727490" w:rsidP="00727490">
      <w:pPr>
        <w:ind w:left="720"/>
        <w:rPr>
          <w:b/>
          <w:sz w:val="24"/>
        </w:rPr>
      </w:pPr>
    </w:p>
    <w:p w:rsidR="00727490" w:rsidRDefault="00727490" w:rsidP="00727490">
      <w:pPr>
        <w:numPr>
          <w:ilvl w:val="0"/>
          <w:numId w:val="5"/>
        </w:numPr>
        <w:rPr>
          <w:sz w:val="24"/>
        </w:rPr>
      </w:pPr>
      <w:r>
        <w:rPr>
          <w:sz w:val="24"/>
        </w:rPr>
        <w:t>b</w:t>
      </w:r>
      <w:r w:rsidRPr="00C53BD1">
        <w:rPr>
          <w:sz w:val="24"/>
        </w:rPr>
        <w:t>ez rozsudku soudu</w:t>
      </w:r>
    </w:p>
    <w:p w:rsidR="00727490" w:rsidRDefault="00727490" w:rsidP="00727490">
      <w:pPr>
        <w:rPr>
          <w:sz w:val="24"/>
        </w:rPr>
      </w:pPr>
      <w:r>
        <w:rPr>
          <w:sz w:val="24"/>
        </w:rPr>
        <w:t xml:space="preserve">   </w:t>
      </w:r>
    </w:p>
    <w:p w:rsidR="00727490" w:rsidRDefault="00727490" w:rsidP="00727490">
      <w:pPr>
        <w:numPr>
          <w:ilvl w:val="0"/>
          <w:numId w:val="4"/>
        </w:numPr>
        <w:rPr>
          <w:b/>
          <w:sz w:val="24"/>
        </w:rPr>
      </w:pPr>
      <w:r w:rsidRPr="00C53BD1">
        <w:rPr>
          <w:b/>
          <w:sz w:val="24"/>
        </w:rPr>
        <w:t>Výčet poskytnutých výhradních licencí, včetně odůvodnění nezbytností poskytnutí výhradní licence:</w:t>
      </w:r>
    </w:p>
    <w:p w:rsidR="00727490" w:rsidRDefault="00727490" w:rsidP="00727490">
      <w:pPr>
        <w:ind w:left="502"/>
        <w:rPr>
          <w:b/>
          <w:sz w:val="24"/>
        </w:rPr>
      </w:pPr>
    </w:p>
    <w:p w:rsidR="00727490" w:rsidRPr="00C53BD1" w:rsidRDefault="00727490" w:rsidP="00727490">
      <w:pPr>
        <w:numPr>
          <w:ilvl w:val="0"/>
          <w:numId w:val="5"/>
        </w:numPr>
        <w:rPr>
          <w:sz w:val="24"/>
        </w:rPr>
      </w:pPr>
      <w:r w:rsidRPr="00C53BD1">
        <w:rPr>
          <w:sz w:val="24"/>
        </w:rPr>
        <w:t>0</w:t>
      </w:r>
    </w:p>
    <w:p w:rsidR="00727490" w:rsidRDefault="00727490" w:rsidP="00727490">
      <w:pPr>
        <w:rPr>
          <w:sz w:val="24"/>
        </w:rPr>
      </w:pPr>
      <w:r>
        <w:rPr>
          <w:sz w:val="24"/>
        </w:rPr>
        <w:t xml:space="preserve"> </w:t>
      </w:r>
    </w:p>
    <w:p w:rsidR="00727490" w:rsidRDefault="00727490" w:rsidP="00727490">
      <w:pPr>
        <w:numPr>
          <w:ilvl w:val="0"/>
          <w:numId w:val="4"/>
        </w:numPr>
        <w:rPr>
          <w:b/>
          <w:sz w:val="24"/>
        </w:rPr>
      </w:pPr>
      <w:r w:rsidRPr="00C64A35">
        <w:rPr>
          <w:b/>
          <w:sz w:val="24"/>
        </w:rPr>
        <w:t>Počet stížností podaných podle § 16 a, důvody jejich podání a stručný popis způsobu jejich vyřízení:</w:t>
      </w:r>
    </w:p>
    <w:p w:rsidR="00727490" w:rsidRDefault="00727490" w:rsidP="00727490">
      <w:pPr>
        <w:ind w:left="502"/>
        <w:rPr>
          <w:b/>
          <w:sz w:val="24"/>
        </w:rPr>
      </w:pPr>
    </w:p>
    <w:p w:rsidR="00727490" w:rsidRPr="00C64A35" w:rsidRDefault="00727490" w:rsidP="00727490">
      <w:pPr>
        <w:numPr>
          <w:ilvl w:val="0"/>
          <w:numId w:val="5"/>
        </w:numPr>
        <w:rPr>
          <w:sz w:val="24"/>
        </w:rPr>
      </w:pPr>
      <w:r w:rsidRPr="00C64A35">
        <w:rPr>
          <w:sz w:val="24"/>
        </w:rPr>
        <w:t>0</w:t>
      </w:r>
    </w:p>
    <w:p w:rsidR="00727490" w:rsidRDefault="00727490" w:rsidP="00727490">
      <w:pPr>
        <w:rPr>
          <w:sz w:val="24"/>
        </w:rPr>
      </w:pPr>
    </w:p>
    <w:p w:rsidR="00727490" w:rsidRDefault="00727490" w:rsidP="00727490">
      <w:pPr>
        <w:numPr>
          <w:ilvl w:val="0"/>
          <w:numId w:val="4"/>
        </w:numPr>
        <w:rPr>
          <w:b/>
          <w:sz w:val="24"/>
        </w:rPr>
      </w:pPr>
      <w:r w:rsidRPr="00C64A35">
        <w:rPr>
          <w:b/>
          <w:sz w:val="24"/>
        </w:rPr>
        <w:t>Další informace vztahující se k uplatňování zákona č. 106/1999 Sb.:</w:t>
      </w:r>
    </w:p>
    <w:p w:rsidR="00727490" w:rsidRDefault="00727490" w:rsidP="00727490">
      <w:pPr>
        <w:ind w:left="502"/>
        <w:rPr>
          <w:b/>
          <w:sz w:val="24"/>
        </w:rPr>
      </w:pPr>
    </w:p>
    <w:p w:rsidR="00727490" w:rsidRDefault="00727490" w:rsidP="00481881">
      <w:pPr>
        <w:ind w:left="502" w:firstLine="0"/>
        <w:rPr>
          <w:sz w:val="24"/>
        </w:rPr>
      </w:pPr>
      <w:r>
        <w:rPr>
          <w:sz w:val="24"/>
        </w:rPr>
        <w:t xml:space="preserve">Informace byly žadatelům poskytovány v termínech stanovených </w:t>
      </w:r>
      <w:proofErr w:type="gramStart"/>
      <w:r>
        <w:rPr>
          <w:sz w:val="24"/>
        </w:rPr>
        <w:t>zákonem ( § 14</w:t>
      </w:r>
      <w:proofErr w:type="gramEnd"/>
      <w:r>
        <w:rPr>
          <w:sz w:val="24"/>
        </w:rPr>
        <w:t xml:space="preserve"> odst. 5 písm. d) a § 20 </w:t>
      </w:r>
      <w:proofErr w:type="spellStart"/>
      <w:r>
        <w:rPr>
          <w:sz w:val="24"/>
        </w:rPr>
        <w:t>ods</w:t>
      </w:r>
      <w:proofErr w:type="spellEnd"/>
      <w:r>
        <w:rPr>
          <w:sz w:val="24"/>
        </w:rPr>
        <w:t>. 3 zákona 106/1999 Sb.)</w:t>
      </w:r>
    </w:p>
    <w:p w:rsidR="00727490" w:rsidRDefault="00727490" w:rsidP="00727490">
      <w:pPr>
        <w:ind w:left="502"/>
        <w:rPr>
          <w:sz w:val="24"/>
        </w:rPr>
      </w:pPr>
    </w:p>
    <w:p w:rsidR="00727490" w:rsidRDefault="00727490" w:rsidP="00727490">
      <w:pPr>
        <w:ind w:left="502"/>
        <w:rPr>
          <w:sz w:val="24"/>
        </w:rPr>
      </w:pPr>
    </w:p>
    <w:p w:rsidR="004A3CFD" w:rsidRDefault="004A3CFD" w:rsidP="004A3CFD">
      <w:pPr>
        <w:pStyle w:val="Bezmezer"/>
        <w:spacing w:line="360" w:lineRule="auto"/>
        <w:rPr>
          <w:rFonts w:ascii="Calibri" w:eastAsia="Times New Roman" w:hAnsi="Calibri" w:cs="Times New Roman"/>
          <w:sz w:val="24"/>
          <w:lang w:eastAsia="cs-CZ"/>
        </w:rPr>
      </w:pPr>
    </w:p>
    <w:p w:rsidR="00481881" w:rsidRDefault="00481881" w:rsidP="004A3CFD">
      <w:pPr>
        <w:pStyle w:val="Bezmezer"/>
        <w:spacing w:line="360" w:lineRule="auto"/>
        <w:rPr>
          <w:rFonts w:ascii="Calibri" w:eastAsia="Times New Roman" w:hAnsi="Calibri" w:cs="Times New Roman"/>
          <w:sz w:val="24"/>
          <w:lang w:eastAsia="cs-CZ"/>
        </w:rPr>
      </w:pPr>
    </w:p>
    <w:p w:rsidR="00481881" w:rsidRDefault="00481881" w:rsidP="0057069B">
      <w:pPr>
        <w:ind w:firstLine="0"/>
        <w:rPr>
          <w:sz w:val="24"/>
        </w:rPr>
      </w:pPr>
      <w:bookmarkStart w:id="0" w:name="_GoBack"/>
      <w:bookmarkEnd w:id="0"/>
    </w:p>
    <w:p w:rsidR="00481881" w:rsidRDefault="00481881" w:rsidP="0057069B">
      <w:pPr>
        <w:ind w:firstLine="0"/>
        <w:rPr>
          <w:sz w:val="24"/>
        </w:rPr>
      </w:pPr>
    </w:p>
    <w:p w:rsidR="00481881" w:rsidRDefault="00481881" w:rsidP="0057069B">
      <w:pPr>
        <w:ind w:firstLine="0"/>
        <w:rPr>
          <w:sz w:val="24"/>
        </w:rPr>
      </w:pPr>
    </w:p>
    <w:p w:rsidR="00727490" w:rsidRDefault="00727490" w:rsidP="0057069B">
      <w:pPr>
        <w:ind w:firstLine="0"/>
        <w:rPr>
          <w:sz w:val="24"/>
        </w:rPr>
      </w:pPr>
      <w:r>
        <w:rPr>
          <w:sz w:val="24"/>
        </w:rPr>
        <w:t>Žádosti jsou vyřizovány dle směrnice Obecního úřadu v Semaníně.</w:t>
      </w:r>
    </w:p>
    <w:p w:rsidR="00727490" w:rsidRDefault="00727490" w:rsidP="0057069B">
      <w:pPr>
        <w:ind w:firstLine="0"/>
        <w:rPr>
          <w:sz w:val="24"/>
        </w:rPr>
      </w:pPr>
      <w:r>
        <w:rPr>
          <w:sz w:val="24"/>
        </w:rPr>
        <w:t>„Směrnice vymezující kompetence při poskytování informací“. Průběžně jsou poskytovány informace na základě ústně podaných žádostí.</w:t>
      </w:r>
    </w:p>
    <w:p w:rsidR="00727490" w:rsidRDefault="00727490" w:rsidP="0057069B">
      <w:pPr>
        <w:ind w:firstLine="0"/>
        <w:rPr>
          <w:sz w:val="24"/>
        </w:rPr>
      </w:pPr>
    </w:p>
    <w:p w:rsidR="00727490" w:rsidRDefault="00727490" w:rsidP="0057069B">
      <w:pPr>
        <w:rPr>
          <w:sz w:val="24"/>
        </w:rPr>
      </w:pPr>
      <w:r>
        <w:rPr>
          <w:sz w:val="24"/>
        </w:rPr>
        <w:t>Písemné požadavky občanů jsou v souladu se zákonem evidovány na podatelně Obecního úřadu v Semaníně.</w:t>
      </w:r>
    </w:p>
    <w:p w:rsidR="00727490" w:rsidRDefault="00727490" w:rsidP="0057069B">
      <w:pPr>
        <w:ind w:firstLine="0"/>
        <w:rPr>
          <w:sz w:val="24"/>
        </w:rPr>
      </w:pPr>
    </w:p>
    <w:p w:rsidR="00727490" w:rsidRDefault="00727490" w:rsidP="0057069B">
      <w:pPr>
        <w:ind w:firstLine="0"/>
        <w:rPr>
          <w:sz w:val="24"/>
        </w:rPr>
      </w:pPr>
      <w:r>
        <w:rPr>
          <w:sz w:val="24"/>
        </w:rPr>
        <w:t>Za poskytnutí informací bylo v roce 2020 vybráno celkem 0,- Kč.</w:t>
      </w:r>
    </w:p>
    <w:p w:rsidR="00727490" w:rsidRDefault="00727490" w:rsidP="0057069B">
      <w:pPr>
        <w:ind w:firstLine="0"/>
        <w:rPr>
          <w:sz w:val="24"/>
        </w:rPr>
      </w:pPr>
    </w:p>
    <w:p w:rsidR="00727490" w:rsidRDefault="00727490" w:rsidP="0057069B">
      <w:pPr>
        <w:ind w:firstLine="0"/>
        <w:rPr>
          <w:sz w:val="24"/>
        </w:rPr>
      </w:pPr>
    </w:p>
    <w:p w:rsidR="00727490" w:rsidRDefault="00727490" w:rsidP="0057069B">
      <w:pPr>
        <w:ind w:firstLine="0"/>
        <w:rPr>
          <w:sz w:val="24"/>
        </w:rPr>
      </w:pPr>
      <w:r>
        <w:rPr>
          <w:sz w:val="24"/>
        </w:rPr>
        <w:t xml:space="preserve">Zpracovala: </w:t>
      </w:r>
      <w:r w:rsidR="0057069B">
        <w:rPr>
          <w:sz w:val="24"/>
        </w:rPr>
        <w:t xml:space="preserve"> Marie Křepelová</w:t>
      </w:r>
    </w:p>
    <w:p w:rsidR="00727490" w:rsidRDefault="00727490" w:rsidP="0057069B">
      <w:pPr>
        <w:ind w:firstLine="0"/>
        <w:rPr>
          <w:sz w:val="24"/>
        </w:rPr>
      </w:pPr>
    </w:p>
    <w:p w:rsidR="00727490" w:rsidRDefault="00727490" w:rsidP="0057069B">
      <w:pPr>
        <w:ind w:firstLine="0"/>
        <w:rPr>
          <w:sz w:val="24"/>
        </w:rPr>
      </w:pPr>
    </w:p>
    <w:p w:rsidR="00727490" w:rsidRDefault="00727490" w:rsidP="0057069B">
      <w:pPr>
        <w:ind w:firstLine="0"/>
        <w:rPr>
          <w:sz w:val="24"/>
        </w:rPr>
      </w:pPr>
    </w:p>
    <w:p w:rsidR="00727490" w:rsidRDefault="00727490" w:rsidP="0057069B">
      <w:pPr>
        <w:ind w:firstLine="0"/>
        <w:rPr>
          <w:sz w:val="24"/>
        </w:rPr>
      </w:pPr>
    </w:p>
    <w:p w:rsidR="00727490" w:rsidRDefault="00727490" w:rsidP="0057069B">
      <w:pPr>
        <w:rPr>
          <w:sz w:val="24"/>
        </w:rPr>
      </w:pPr>
      <w:r>
        <w:rPr>
          <w:sz w:val="24"/>
        </w:rPr>
        <w:t xml:space="preserve">Tato výroční zpráva o </w:t>
      </w:r>
      <w:r w:rsidR="00481881">
        <w:rPr>
          <w:sz w:val="24"/>
        </w:rPr>
        <w:t>poskytnutí informací za rok 2020</w:t>
      </w:r>
      <w:r>
        <w:rPr>
          <w:sz w:val="24"/>
        </w:rPr>
        <w:t xml:space="preserve"> dle zákona č. 106/1999 </w:t>
      </w:r>
      <w:proofErr w:type="spellStart"/>
      <w:proofErr w:type="gramStart"/>
      <w:r>
        <w:rPr>
          <w:sz w:val="24"/>
        </w:rPr>
        <w:t>Sb.,o</w:t>
      </w:r>
      <w:proofErr w:type="spellEnd"/>
      <w:r>
        <w:rPr>
          <w:sz w:val="24"/>
        </w:rPr>
        <w:t xml:space="preserve"> svobodném</w:t>
      </w:r>
      <w:proofErr w:type="gramEnd"/>
      <w:r>
        <w:rPr>
          <w:sz w:val="24"/>
        </w:rPr>
        <w:t xml:space="preserve"> přístupu k informacím byla projednána Zastupitelstvem obce Semanín </w:t>
      </w:r>
    </w:p>
    <w:p w:rsidR="00727490" w:rsidRPr="00C64A35" w:rsidRDefault="0057069B" w:rsidP="0057069B">
      <w:pPr>
        <w:ind w:firstLine="0"/>
        <w:rPr>
          <w:sz w:val="24"/>
        </w:rPr>
      </w:pPr>
      <w:r>
        <w:rPr>
          <w:sz w:val="24"/>
        </w:rPr>
        <w:t>dne 22. 2. 2021. usnesením č. 3/2021.</w:t>
      </w:r>
    </w:p>
    <w:p w:rsidR="00727490" w:rsidRDefault="00727490" w:rsidP="0057069B">
      <w:pPr>
        <w:ind w:firstLine="0"/>
        <w:rPr>
          <w:sz w:val="24"/>
        </w:rPr>
      </w:pPr>
    </w:p>
    <w:sectPr w:rsidR="00727490" w:rsidSect="00C97D1B">
      <w:headerReference w:type="default" r:id="rId9"/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0F" w:rsidRDefault="000D110F" w:rsidP="0075652E">
      <w:r>
        <w:separator/>
      </w:r>
    </w:p>
  </w:endnote>
  <w:endnote w:type="continuationSeparator" w:id="0">
    <w:p w:rsidR="000D110F" w:rsidRDefault="000D110F" w:rsidP="0075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0F" w:rsidRDefault="000D110F" w:rsidP="0075652E">
      <w:r>
        <w:separator/>
      </w:r>
    </w:p>
  </w:footnote>
  <w:footnote w:type="continuationSeparator" w:id="0">
    <w:p w:rsidR="000D110F" w:rsidRDefault="000D110F" w:rsidP="00756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2E" w:rsidRDefault="000D110F" w:rsidP="0075652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81.35pt;margin-top:10.35pt;width:390pt;height:43.2pt;z-index:251660288;mso-position-vertical-relative:page" o:allowincell="f" filled="f" fillcolor="#ff9" strokeweight="1pt">
          <v:fill color2="#f60" focus="100%" type="gradient"/>
          <v:shadow on="t" color="silver"/>
          <v:textpath style="font-family:&quot;Impact&quot;;v-text-kern:t" trim="t" fitpath="t" string="OBECNÍ ÚŘAD SEMANÍN"/>
          <w10:wrap type="topAndBottom" side="right" anchory="page"/>
        </v:shape>
      </w:pict>
    </w:r>
    <w:r w:rsidR="00C97D1B">
      <w:rPr>
        <w:noProof/>
      </w:rPr>
      <w:drawing>
        <wp:anchor distT="0" distB="0" distL="114300" distR="114300" simplePos="0" relativeHeight="251659264" behindDoc="1" locked="0" layoutInCell="0" allowOverlap="1" wp14:anchorId="42A7435E" wp14:editId="25D05693">
          <wp:simplePos x="0" y="0"/>
          <wp:positionH relativeFrom="column">
            <wp:posOffset>-389255</wp:posOffset>
          </wp:positionH>
          <wp:positionV relativeFrom="page">
            <wp:posOffset>274320</wp:posOffset>
          </wp:positionV>
          <wp:extent cx="1094105" cy="979805"/>
          <wp:effectExtent l="0" t="0" r="0" b="0"/>
          <wp:wrapTight wrapText="right">
            <wp:wrapPolygon edited="0">
              <wp:start x="0" y="0"/>
              <wp:lineTo x="0" y="20998"/>
              <wp:lineTo x="21061" y="20998"/>
              <wp:lineTo x="21061" y="0"/>
              <wp:lineTo x="0" y="0"/>
            </wp:wrapPolygon>
          </wp:wrapTight>
          <wp:docPr id="1" name="Obrázek 1" descr="znak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652E" w:rsidRDefault="0075652E" w:rsidP="0075652E">
    <w:pPr>
      <w:pStyle w:val="Zhlav"/>
    </w:pPr>
  </w:p>
  <w:p w:rsidR="005626C5" w:rsidRDefault="00C97D1B" w:rsidP="0075652E">
    <w:pPr>
      <w:ind w:left="708" w:firstLine="708"/>
      <w:jc w:val="center"/>
    </w:pPr>
    <w:r>
      <w:t>S</w:t>
    </w:r>
    <w:r w:rsidR="0075652E">
      <w:t>emanín 151,    IČ</w:t>
    </w:r>
    <w:r w:rsidR="005626C5">
      <w:t xml:space="preserve">O: 67441513, DIČ: CZ67441513, </w:t>
    </w:r>
    <w:r w:rsidR="0075652E">
      <w:t>tel.: 465 539</w:t>
    </w:r>
    <w:r w:rsidR="005626C5">
      <w:t> </w:t>
    </w:r>
    <w:r w:rsidR="0075652E">
      <w:t>131</w:t>
    </w:r>
  </w:p>
  <w:p w:rsidR="0075652E" w:rsidRPr="00C97D1B" w:rsidRDefault="0075652E" w:rsidP="0075652E">
    <w:pPr>
      <w:ind w:left="708" w:firstLine="708"/>
      <w:jc w:val="center"/>
      <w:rPr>
        <w:sz w:val="10"/>
        <w:szCs w:val="10"/>
      </w:rPr>
    </w:pPr>
    <w:r>
      <w:tab/>
    </w:r>
  </w:p>
  <w:p w:rsidR="0075652E" w:rsidRDefault="0075652E" w:rsidP="0075652E">
    <w:pPr>
      <w:ind w:firstLine="708"/>
      <w:jc w:val="center"/>
    </w:pPr>
    <w:r>
      <w:t xml:space="preserve">                           e-mail : </w:t>
    </w:r>
    <w:r w:rsidR="005626C5">
      <w:rPr>
        <w:color w:val="0000FF"/>
        <w:u w:val="single"/>
      </w:rPr>
      <w:t>obec@obecsemanin.cz</w:t>
    </w:r>
    <w:r>
      <w:tab/>
    </w:r>
    <w:r>
      <w:tab/>
    </w:r>
  </w:p>
  <w:p w:rsidR="0075652E" w:rsidRDefault="00C97D1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960EAF" wp14:editId="4BBE1BC7">
              <wp:simplePos x="0" y="0"/>
              <wp:positionH relativeFrom="column">
                <wp:posOffset>-617220</wp:posOffset>
              </wp:positionH>
              <wp:positionV relativeFrom="page">
                <wp:posOffset>1352550</wp:posOffset>
              </wp:positionV>
              <wp:extent cx="7132320" cy="0"/>
              <wp:effectExtent l="0" t="19050" r="11430" b="19050"/>
              <wp:wrapTopAndBottom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3232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8.6pt,106.5pt" to="513pt,1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" o:allowincell="f" strokeweight="2.25pt"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745"/>
    <w:multiLevelType w:val="hybridMultilevel"/>
    <w:tmpl w:val="CBA4E938"/>
    <w:lvl w:ilvl="0" w:tplc="D7CE7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242403"/>
    <w:multiLevelType w:val="hybridMultilevel"/>
    <w:tmpl w:val="A3A0C46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516B0"/>
    <w:multiLevelType w:val="hybridMultilevel"/>
    <w:tmpl w:val="022A4E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9D6774"/>
    <w:multiLevelType w:val="hybridMultilevel"/>
    <w:tmpl w:val="BCF0C47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B61098"/>
    <w:multiLevelType w:val="hybridMultilevel"/>
    <w:tmpl w:val="1D8E3BEC"/>
    <w:lvl w:ilvl="0" w:tplc="13E24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69"/>
    <w:rsid w:val="00006EDD"/>
    <w:rsid w:val="00025235"/>
    <w:rsid w:val="0003176C"/>
    <w:rsid w:val="00052710"/>
    <w:rsid w:val="000D110F"/>
    <w:rsid w:val="000E49F1"/>
    <w:rsid w:val="000F7E95"/>
    <w:rsid w:val="00134B0B"/>
    <w:rsid w:val="00134F92"/>
    <w:rsid w:val="00187865"/>
    <w:rsid w:val="001C1D22"/>
    <w:rsid w:val="00206A25"/>
    <w:rsid w:val="00212A01"/>
    <w:rsid w:val="002263B9"/>
    <w:rsid w:val="00273C03"/>
    <w:rsid w:val="0028293E"/>
    <w:rsid w:val="002D61A9"/>
    <w:rsid w:val="00332A88"/>
    <w:rsid w:val="003B7D89"/>
    <w:rsid w:val="003C5909"/>
    <w:rsid w:val="003C6E70"/>
    <w:rsid w:val="003E5016"/>
    <w:rsid w:val="003F4A12"/>
    <w:rsid w:val="00426BD6"/>
    <w:rsid w:val="00477EDD"/>
    <w:rsid w:val="00481881"/>
    <w:rsid w:val="004A3CFD"/>
    <w:rsid w:val="004C4B93"/>
    <w:rsid w:val="005626C5"/>
    <w:rsid w:val="0057069B"/>
    <w:rsid w:val="005D042D"/>
    <w:rsid w:val="005F0854"/>
    <w:rsid w:val="00631802"/>
    <w:rsid w:val="006E4BAE"/>
    <w:rsid w:val="00705909"/>
    <w:rsid w:val="00727490"/>
    <w:rsid w:val="0075652E"/>
    <w:rsid w:val="00770849"/>
    <w:rsid w:val="007A55A7"/>
    <w:rsid w:val="008146B8"/>
    <w:rsid w:val="00832771"/>
    <w:rsid w:val="0084167C"/>
    <w:rsid w:val="00855716"/>
    <w:rsid w:val="008F77EA"/>
    <w:rsid w:val="00923E3D"/>
    <w:rsid w:val="009B4715"/>
    <w:rsid w:val="009C6EDA"/>
    <w:rsid w:val="00A0793E"/>
    <w:rsid w:val="00A73486"/>
    <w:rsid w:val="00AB592A"/>
    <w:rsid w:val="00B51259"/>
    <w:rsid w:val="00B66483"/>
    <w:rsid w:val="00BD7914"/>
    <w:rsid w:val="00BD7A63"/>
    <w:rsid w:val="00C014D6"/>
    <w:rsid w:val="00C61684"/>
    <w:rsid w:val="00C770B8"/>
    <w:rsid w:val="00C97D1B"/>
    <w:rsid w:val="00CA27BF"/>
    <w:rsid w:val="00D159DC"/>
    <w:rsid w:val="00D61DD5"/>
    <w:rsid w:val="00D94B69"/>
    <w:rsid w:val="00EC6DAE"/>
    <w:rsid w:val="00F36D15"/>
    <w:rsid w:val="00F47242"/>
    <w:rsid w:val="00F626C7"/>
    <w:rsid w:val="00FA4C14"/>
    <w:rsid w:val="00F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C03"/>
    <w:pPr>
      <w:spacing w:after="0" w:line="240" w:lineRule="auto"/>
      <w:ind w:firstLine="360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7490"/>
    <w:pPr>
      <w:keepNext/>
      <w:ind w:firstLine="0"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4B6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6D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65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652E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65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652E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rsid w:val="0075652E"/>
    <w:rPr>
      <w:color w:val="0000FF"/>
      <w:u w:val="single"/>
    </w:rPr>
  </w:style>
  <w:style w:type="table" w:styleId="Mkatabulky">
    <w:name w:val="Table Grid"/>
    <w:basedOn w:val="Normlntabulka"/>
    <w:uiPriority w:val="59"/>
    <w:rsid w:val="001C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72749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3C03"/>
    <w:pPr>
      <w:spacing w:after="0" w:line="240" w:lineRule="auto"/>
      <w:ind w:firstLine="360"/>
    </w:pPr>
    <w:rPr>
      <w:rFonts w:ascii="Calibri" w:eastAsia="Times New Roman" w:hAnsi="Calibri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27490"/>
    <w:pPr>
      <w:keepNext/>
      <w:ind w:firstLine="0"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4B6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6D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565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652E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65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652E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rsid w:val="0075652E"/>
    <w:rPr>
      <w:color w:val="0000FF"/>
      <w:u w:val="single"/>
    </w:rPr>
  </w:style>
  <w:style w:type="table" w:styleId="Mkatabulky">
    <w:name w:val="Table Grid"/>
    <w:basedOn w:val="Normlntabulka"/>
    <w:uiPriority w:val="59"/>
    <w:rsid w:val="001C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72749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7BFF-25C5-48CE-A716-886D1AC0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admin</cp:lastModifiedBy>
  <cp:revision>2</cp:revision>
  <cp:lastPrinted>2021-02-23T10:59:00Z</cp:lastPrinted>
  <dcterms:created xsi:type="dcterms:W3CDTF">2021-02-23T10:59:00Z</dcterms:created>
  <dcterms:modified xsi:type="dcterms:W3CDTF">2021-02-23T10:59:00Z</dcterms:modified>
</cp:coreProperties>
</file>